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76D88" w14:textId="77777777" w:rsidR="00F421A0" w:rsidRPr="007E78E6" w:rsidRDefault="00F421A0" w:rsidP="00F421A0">
      <w:pPr>
        <w:tabs>
          <w:tab w:val="left" w:pos="426"/>
        </w:tabs>
        <w:rPr>
          <w:lang w:val="lt-LT"/>
        </w:rPr>
      </w:pPr>
    </w:p>
    <w:p w14:paraId="24E1B7A0" w14:textId="77777777" w:rsidR="00F421A0" w:rsidRPr="007E78E6" w:rsidRDefault="00F0122C" w:rsidP="00F421A0">
      <w:pPr>
        <w:tabs>
          <w:tab w:val="left" w:pos="426"/>
        </w:tabs>
        <w:ind w:right="-142"/>
        <w:rPr>
          <w:rFonts w:ascii="Arial" w:hAnsi="Arial" w:cs="Arial"/>
          <w:color w:val="42A24F"/>
          <w:sz w:val="56"/>
          <w:szCs w:val="56"/>
          <w:lang w:val="lt-LT"/>
        </w:rPr>
      </w:pPr>
      <w:r>
        <w:rPr>
          <w:rFonts w:ascii="Arial" w:hAnsi="Arial" w:cs="Arial"/>
          <w:color w:val="42A24F"/>
          <w:sz w:val="56"/>
          <w:szCs w:val="56"/>
          <w:lang w:val="lt-LT"/>
        </w:rPr>
        <w:t>Neįgaliųjų integracija į darbo rinką</w:t>
      </w:r>
    </w:p>
    <w:p w14:paraId="024E37F7" w14:textId="77777777" w:rsidR="00F421A0" w:rsidRPr="007E78E6" w:rsidRDefault="00F421A0" w:rsidP="00F421A0">
      <w:pPr>
        <w:tabs>
          <w:tab w:val="left" w:pos="426"/>
        </w:tabs>
        <w:rPr>
          <w:lang w:val="lt-LT"/>
        </w:rPr>
      </w:pPr>
    </w:p>
    <w:p w14:paraId="0DC5B31C" w14:textId="77777777" w:rsidR="00F421A0" w:rsidRPr="007E78E6" w:rsidRDefault="00F421A0" w:rsidP="00F421A0">
      <w:pPr>
        <w:tabs>
          <w:tab w:val="left" w:pos="426"/>
        </w:tabs>
        <w:rPr>
          <w:lang w:val="lt-LT"/>
        </w:rPr>
      </w:pPr>
    </w:p>
    <w:p w14:paraId="7474EB60" w14:textId="77777777" w:rsidR="00F421A0" w:rsidRDefault="009C1D5A" w:rsidP="002878AF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2019 m. sausio 1 d. atviroje darbo rinkoje dirba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47206</w:t>
      </w: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neįgalieji, palyginus su 2018 m. sausio 1 d. atviroje darbo rinkoje dirbančiųjų neįgaliųjų skaičius padidėj</w:t>
      </w:r>
      <w:r w:rsidR="00F0122C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o 3014 asmeniu. </w:t>
      </w:r>
    </w:p>
    <w:p w14:paraId="4476A72E" w14:textId="77777777" w:rsidR="002878AF" w:rsidRDefault="002878AF" w:rsidP="002878AF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16F8595E" w14:textId="77777777" w:rsidR="00F0122C" w:rsidRDefault="009C1D5A" w:rsidP="002878AF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Užimtumo tarnyboje </w:t>
      </w:r>
      <w:r w:rsidR="002878AF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per </w:t>
      </w: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2018 met</w:t>
      </w:r>
      <w:r w:rsidR="002878AF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us</w:t>
      </w: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buvo registruota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13149</w:t>
      </w: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darbo ieškantys asmenys, turintys negalią,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9137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neįgaliųjų grįžo į užimtumą,</w:t>
      </w:r>
      <w:r w:rsidR="00C37147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iš jų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5633</w:t>
      </w: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padėta įsidarbinti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</w:t>
      </w: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(a</w:t>
      </w: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tviroje darbo rinkoje </w:t>
      </w:r>
      <w:r w:rsidR="002878AF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- </w:t>
      </w:r>
      <w:r w:rsidRPr="009C1D5A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5211 ir socialinėse įmonėse – 423 neįgaliųjų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),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2149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pradėjo dalyvauti aktyvios darbo rinkos politikos priemonėse,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1354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rinkosi savar</w:t>
      </w:r>
      <w:r w:rsidR="002878AF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a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nkišk</w:t>
      </w:r>
      <w:r w:rsidR="002878AF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ą veiklą pagal verslo liudijimus.</w:t>
      </w:r>
    </w:p>
    <w:p w14:paraId="508933D4" w14:textId="77777777" w:rsidR="0088542E" w:rsidRDefault="0088542E" w:rsidP="002878AF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3A962D33" w14:textId="77777777" w:rsidR="0088542E" w:rsidRDefault="0088542E" w:rsidP="002878AF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r w:rsidRPr="0088542E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Neįgaliųjų registracija ir įdarbinimas per metus</w:t>
      </w:r>
    </w:p>
    <w:p w14:paraId="2E50C78F" w14:textId="77777777" w:rsidR="009C1D5A" w:rsidRDefault="009C1D5A" w:rsidP="002878AF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 </w:t>
      </w:r>
    </w:p>
    <w:p w14:paraId="6C047E1B" w14:textId="77777777" w:rsidR="009C1D5A" w:rsidRDefault="00EF13CA" w:rsidP="009C1D5A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r w:rsidRPr="00EF13CA">
        <w:rPr>
          <w:noProof/>
          <w:lang w:val="lt-LT" w:eastAsia="lt-LT"/>
        </w:rPr>
        <w:drawing>
          <wp:inline distT="0" distB="0" distL="0" distR="0">
            <wp:extent cx="5095875" cy="3629025"/>
            <wp:effectExtent l="0" t="0" r="9525" b="952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6C4C1" w14:textId="77777777" w:rsidR="00A61888" w:rsidRDefault="00A61888" w:rsidP="00F0122C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1896C5CE" w14:textId="77777777" w:rsidR="009C1D5A" w:rsidRDefault="002878AF" w:rsidP="00F0122C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Neįgaliųjų integracijai į darbo rinką 2018 m. panaudota 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36,47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mln. Eur., iš jų : socialinių įmonių paramai  -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29,3</w:t>
      </w:r>
      <w:r w:rsidRPr="002878AF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mln. Eur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, aktyvios darbo rinkos politikos priemonėms –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4,57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 xml:space="preserve"> mln. Eur, profesinės reabilitacijos programai –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 xml:space="preserve">2,6 </w:t>
      </w:r>
      <w:r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mln. Eur.</w:t>
      </w:r>
    </w:p>
    <w:p w14:paraId="6B2F3152" w14:textId="77777777" w:rsidR="002878AF" w:rsidRDefault="002878AF" w:rsidP="00F0122C">
      <w:pPr>
        <w:tabs>
          <w:tab w:val="left" w:pos="426"/>
        </w:tabs>
        <w:ind w:right="-142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0C840D8E" w14:textId="77777777" w:rsidR="002878AF" w:rsidRPr="00986888" w:rsidRDefault="00A61888" w:rsidP="00F0122C">
      <w:pPr>
        <w:tabs>
          <w:tab w:val="left" w:pos="426"/>
        </w:tabs>
        <w:ind w:right="-142"/>
        <w:jc w:val="both"/>
        <w:rPr>
          <w:rFonts w:ascii="Arial" w:hAnsi="Arial" w:cs="Arial"/>
          <w:b/>
          <w:color w:val="404040" w:themeColor="text1" w:themeTint="BF"/>
          <w:sz w:val="21"/>
          <w:szCs w:val="21"/>
          <w:u w:val="single"/>
          <w:lang w:val="lt-LT"/>
        </w:rPr>
      </w:pPr>
      <w:r w:rsidRPr="00986888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Didžiausios lėšos socialinėse įmonėse dirbantiems tikslinėms grupėms priklausantiems asmenis skiriamos darb</w:t>
      </w:r>
      <w:r w:rsidR="00986888" w:rsidRPr="00986888">
        <w:rPr>
          <w:rFonts w:ascii="Arial" w:hAnsi="Arial" w:cs="Arial"/>
          <w:color w:val="404040" w:themeColor="text1" w:themeTint="BF"/>
          <w:sz w:val="21"/>
          <w:szCs w:val="21"/>
          <w:lang w:val="lt-LT"/>
        </w:rPr>
        <w:t>o užmokesčio kompensacijai</w:t>
      </w:r>
      <w:r w:rsidR="00986888"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, 2017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 xml:space="preserve"> m. jos sudarė </w:t>
      </w:r>
      <w:r w:rsid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89,6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 xml:space="preserve"> proc. nuo visų skiriamų lėšų (2</w:t>
      </w:r>
      <w:r w:rsid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5,9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 xml:space="preserve"> mln. Eur). </w:t>
      </w:r>
      <w:r w:rsidRPr="00986888">
        <w:rPr>
          <w:rFonts w:ascii="Arial" w:hAnsi="Arial" w:cs="Arial"/>
          <w:b/>
          <w:color w:val="404040" w:themeColor="text1" w:themeTint="BF"/>
          <w:sz w:val="21"/>
          <w:szCs w:val="21"/>
          <w:u w:val="single"/>
          <w:lang w:val="lt-LT"/>
        </w:rPr>
        <w:t>Kai tuo tarpu  p</w:t>
      </w:r>
      <w:r w:rsidR="00986888" w:rsidRPr="00986888">
        <w:rPr>
          <w:rFonts w:ascii="Arial" w:hAnsi="Arial" w:cs="Arial"/>
          <w:b/>
          <w:color w:val="404040" w:themeColor="text1" w:themeTint="BF"/>
          <w:sz w:val="21"/>
          <w:szCs w:val="21"/>
          <w:u w:val="single"/>
          <w:lang w:val="lt-LT"/>
        </w:rPr>
        <w:t>er 2017</w:t>
      </w:r>
      <w:r w:rsidR="002878AF" w:rsidRPr="00986888">
        <w:rPr>
          <w:rFonts w:ascii="Arial" w:hAnsi="Arial" w:cs="Arial"/>
          <w:b/>
          <w:color w:val="404040" w:themeColor="text1" w:themeTint="BF"/>
          <w:sz w:val="21"/>
          <w:szCs w:val="21"/>
          <w:u w:val="single"/>
          <w:lang w:val="lt-LT"/>
        </w:rPr>
        <w:t xml:space="preserve"> m. socialinės įmonės gavo 26,9 mln. Eur pelno</w:t>
      </w:r>
      <w:r w:rsidR="00F0122C" w:rsidRPr="00986888">
        <w:rPr>
          <w:rFonts w:ascii="Arial" w:hAnsi="Arial" w:cs="Arial"/>
          <w:b/>
          <w:color w:val="404040" w:themeColor="text1" w:themeTint="BF"/>
          <w:sz w:val="21"/>
          <w:szCs w:val="21"/>
          <w:u w:val="single"/>
          <w:lang w:val="lt-LT"/>
        </w:rPr>
        <w:t xml:space="preserve">. </w:t>
      </w:r>
    </w:p>
    <w:p w14:paraId="4108B051" w14:textId="77777777" w:rsidR="002878AF" w:rsidRDefault="002878AF" w:rsidP="002878AF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0560E1F4" w14:textId="77777777" w:rsidR="00941A5B" w:rsidRDefault="00941A5B" w:rsidP="002878AF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70C90EE7" w14:textId="77777777" w:rsidR="00941A5B" w:rsidRDefault="00941A5B" w:rsidP="002878AF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6C4D95C6" w14:textId="77777777" w:rsidR="00941A5B" w:rsidRDefault="00941A5B" w:rsidP="002878AF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7777AF75" w14:textId="77777777" w:rsidR="00941A5B" w:rsidRDefault="00941A5B" w:rsidP="002878AF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45931650" w14:textId="77777777" w:rsidR="00941A5B" w:rsidRDefault="00941A5B" w:rsidP="002878AF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36CBC9D0" w14:textId="77777777" w:rsidR="00941A5B" w:rsidRPr="00941A5B" w:rsidRDefault="00941A5B" w:rsidP="00941A5B">
      <w:pPr>
        <w:tabs>
          <w:tab w:val="left" w:pos="426"/>
        </w:tabs>
        <w:ind w:right="-142"/>
        <w:jc w:val="center"/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</w:pPr>
      <w:r w:rsidRPr="00941A5B">
        <w:rPr>
          <w:rFonts w:ascii="Arial" w:hAnsi="Arial" w:cs="Arial"/>
          <w:b/>
          <w:color w:val="404040" w:themeColor="text1" w:themeTint="BF"/>
          <w:sz w:val="21"/>
          <w:szCs w:val="21"/>
          <w:lang w:val="lt-LT"/>
        </w:rPr>
        <w:t>Socialinės įmonės, gavusios didžiausius pelnus už 2017 m. veiklą</w:t>
      </w:r>
    </w:p>
    <w:p w14:paraId="430A06BB" w14:textId="77777777" w:rsidR="002878AF" w:rsidRPr="002878AF" w:rsidRDefault="002878AF" w:rsidP="002878AF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72B1096D" w14:textId="77777777" w:rsidR="002878AF" w:rsidRDefault="002878AF" w:rsidP="009C1D5A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3940"/>
        <w:gridCol w:w="1442"/>
        <w:gridCol w:w="3178"/>
      </w:tblGrid>
      <w:tr w:rsidR="00941A5B" w:rsidRPr="00941A5B" w14:paraId="494D04B5" w14:textId="77777777" w:rsidTr="00941A5B">
        <w:trPr>
          <w:trHeight w:val="480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E1B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Įmonės pavadinimas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8DAD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Veiklos rezultatas 2017 m.</w:t>
            </w:r>
          </w:p>
        </w:tc>
      </w:tr>
      <w:tr w:rsidR="00941A5B" w:rsidRPr="00941A5B" w14:paraId="7D293B1B" w14:textId="77777777" w:rsidTr="003359F9">
        <w:trPr>
          <w:trHeight w:val="31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6BF2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F4BC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Pelnas, Eur                   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B79F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Pagrindinė veikla</w:t>
            </w:r>
          </w:p>
        </w:tc>
      </w:tr>
      <w:tr w:rsidR="00941A5B" w:rsidRPr="00941A5B" w14:paraId="01FAA076" w14:textId="77777777" w:rsidTr="003359F9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6DAD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UAB „EUROINTEGRACIJOS PROJEKTAI“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4ADC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6.732.131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9890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Konsultacinė valdymo veikla</w:t>
            </w:r>
          </w:p>
        </w:tc>
      </w:tr>
      <w:tr w:rsidR="00941A5B" w:rsidRPr="00941A5B" w14:paraId="22E1D1DB" w14:textId="77777777" w:rsidTr="003359F9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81AC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UŽDAROJI AKCINĖ BENDROVĖ "LODVILA"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5CCE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3.718.137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39F1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Spausdinimas</w:t>
            </w:r>
          </w:p>
        </w:tc>
      </w:tr>
      <w:tr w:rsidR="00941A5B" w:rsidRPr="00941A5B" w14:paraId="7ADF3D09" w14:textId="77777777" w:rsidTr="003359F9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8969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Uždaroji akcinė bendrovė „Socialinė integracija“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6C97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1.155.403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C8D3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Patalpų valymas</w:t>
            </w:r>
          </w:p>
        </w:tc>
      </w:tr>
      <w:tr w:rsidR="00941A5B" w:rsidRPr="00941A5B" w14:paraId="20F7790C" w14:textId="77777777" w:rsidTr="003359F9">
        <w:trPr>
          <w:trHeight w:val="1499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822C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UAB „Baltic </w:t>
            </w:r>
            <w:proofErr w:type="spellStart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Home</w:t>
            </w:r>
            <w:proofErr w:type="spellEnd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AE38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943.254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8B30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 Išrūšiuotų medžiagų atgavimas;  Kompiuterių, programavimo konsultacinė ir susijusi veikla; Kita, niekur kitur nepriskirta, informacinių paslaugų veikla</w:t>
            </w:r>
          </w:p>
        </w:tc>
      </w:tr>
      <w:tr w:rsidR="00941A5B" w:rsidRPr="00941A5B" w14:paraId="42ED44F2" w14:textId="77777777" w:rsidTr="003359F9">
        <w:trPr>
          <w:trHeight w:val="8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7536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Uždaroji akcinė bendrovė „</w:t>
            </w:r>
            <w:proofErr w:type="spellStart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Kauen</w:t>
            </w:r>
            <w:proofErr w:type="spellEnd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 </w:t>
            </w:r>
            <w:proofErr w:type="spellStart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craft</w:t>
            </w:r>
            <w:proofErr w:type="spellEnd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6C4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914.844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585A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Mineralinio vandens ir vaisvandenių gamyba; plastikinių pakuočių gamyba.</w:t>
            </w:r>
          </w:p>
        </w:tc>
      </w:tr>
      <w:tr w:rsidR="00941A5B" w:rsidRPr="00941A5B" w14:paraId="5BDEDC50" w14:textId="77777777" w:rsidTr="003359F9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BFFF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Akcinė bendrovė „Kelmės pieninė“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6970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898.000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B253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Pieninių veikla ir sūrių gamyba</w:t>
            </w:r>
          </w:p>
        </w:tc>
      </w:tr>
      <w:tr w:rsidR="00941A5B" w:rsidRPr="00941A5B" w14:paraId="75BADA76" w14:textId="77777777" w:rsidTr="003359F9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D1D1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UAB „GEMIMEX“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FDA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746.716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F7D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Papuošalų gamyba</w:t>
            </w:r>
          </w:p>
        </w:tc>
      </w:tr>
      <w:tr w:rsidR="00941A5B" w:rsidRPr="00941A5B" w14:paraId="324FB2D6" w14:textId="77777777" w:rsidTr="003359F9">
        <w:trPr>
          <w:trHeight w:val="586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C8B8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UAB "Apdailos ekspertai"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0B65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613.552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DF49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Statybos baigimas ir apdaila;                                                     kraštovaizdžio tvarkymas;                                                    </w:t>
            </w:r>
          </w:p>
        </w:tc>
      </w:tr>
      <w:tr w:rsidR="00941A5B" w:rsidRPr="00941A5B" w14:paraId="1E312A2F" w14:textId="77777777" w:rsidTr="003359F9">
        <w:trPr>
          <w:trHeight w:val="55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81E0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UAB „Kavos bankas“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48D0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590.914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369F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Arbatos ir kavos apdorojimas ir perdirbimas</w:t>
            </w:r>
          </w:p>
        </w:tc>
      </w:tr>
      <w:tr w:rsidR="00941A5B" w:rsidRPr="00941A5B" w14:paraId="4006C6DA" w14:textId="77777777" w:rsidTr="003359F9">
        <w:trPr>
          <w:trHeight w:val="716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1E4B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UAB „Baltic </w:t>
            </w:r>
            <w:proofErr w:type="spellStart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Printing</w:t>
            </w:r>
            <w:proofErr w:type="spellEnd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 </w:t>
            </w:r>
            <w:proofErr w:type="spellStart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House</w:t>
            </w:r>
            <w:proofErr w:type="spellEnd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F8E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579.448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4B2D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 Fasavimo ir pakavimo veikla; kita leidyba;</w:t>
            </w:r>
            <w:r w:rsidR="003359F9"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 </w:t>
            </w:r>
            <w:proofErr w:type="spellStart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polistireno</w:t>
            </w:r>
            <w:proofErr w:type="spellEnd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 pakuočių gamyba. </w:t>
            </w:r>
          </w:p>
        </w:tc>
      </w:tr>
      <w:tr w:rsidR="00941A5B" w:rsidRPr="00941A5B" w14:paraId="7F86E671" w14:textId="77777777" w:rsidTr="003359F9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7A4D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Uždaroji akcinė bendrovė „</w:t>
            </w:r>
            <w:proofErr w:type="spellStart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Amber</w:t>
            </w:r>
            <w:proofErr w:type="spellEnd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 xml:space="preserve"> pasta“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566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567.981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A356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Makaronų gamyba</w:t>
            </w:r>
          </w:p>
        </w:tc>
      </w:tr>
      <w:tr w:rsidR="00941A5B" w:rsidRPr="00941A5B" w14:paraId="587FC98E" w14:textId="77777777" w:rsidTr="003359F9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72D6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UAB "</w:t>
            </w:r>
            <w:proofErr w:type="spellStart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Aukstata</w:t>
            </w:r>
            <w:proofErr w:type="spellEnd"/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"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6A43" w14:textId="77777777" w:rsidR="00941A5B" w:rsidRPr="003359F9" w:rsidRDefault="00941A5B" w:rsidP="00941A5B">
            <w:pPr>
              <w:jc w:val="center"/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550.555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632F" w14:textId="77777777" w:rsidR="00941A5B" w:rsidRPr="003359F9" w:rsidRDefault="00941A5B" w:rsidP="00941A5B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</w:pPr>
            <w:r w:rsidRPr="003359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lt-LT"/>
              </w:rPr>
              <w:t>Pastatų remontas, renovavimas.</w:t>
            </w:r>
          </w:p>
        </w:tc>
      </w:tr>
    </w:tbl>
    <w:p w14:paraId="3964315D" w14:textId="77777777" w:rsidR="002878AF" w:rsidRPr="009C1D5A" w:rsidRDefault="002878AF" w:rsidP="009C1D5A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3C6A263" w14:textId="77777777" w:rsidR="008F3731" w:rsidRDefault="008F3731" w:rsidP="008F3731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0650957F" w14:textId="77777777" w:rsidR="008F3731" w:rsidRPr="00836945" w:rsidRDefault="008F3731" w:rsidP="008F3731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C83E155" w14:textId="77777777" w:rsidR="008F3731" w:rsidRPr="00836945" w:rsidRDefault="008F3731">
      <w:pPr>
        <w:tabs>
          <w:tab w:val="left" w:pos="426"/>
        </w:tabs>
        <w:ind w:right="-142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sectPr w:rsidR="008F3731" w:rsidRPr="00836945" w:rsidSect="00ED209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23" w:right="1440" w:bottom="1438" w:left="1843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F790" w14:textId="77777777" w:rsidR="00EE3F36" w:rsidRDefault="00EE3F36" w:rsidP="00F421A0">
      <w:r>
        <w:separator/>
      </w:r>
    </w:p>
  </w:endnote>
  <w:endnote w:type="continuationSeparator" w:id="0">
    <w:p w14:paraId="51509F90" w14:textId="77777777" w:rsidR="00EE3F36" w:rsidRDefault="00EE3F36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E1003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16E8F705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02592993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19CAD11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62A835A6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6A1F154B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4580BEFA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772B69C3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D6C3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2B7B8" wp14:editId="10BCF4F3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85C8F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20B3BC42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T. +370 5 236 0770</w:t>
                          </w:r>
                        </w:p>
                        <w:p w14:paraId="2A49EF71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E. info@uzt.lt</w:t>
                          </w:r>
                        </w:p>
                        <w:p w14:paraId="7173961E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12B7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4A685C8F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20B3BC42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T. +370 5 236 0770</w:t>
                    </w:r>
                  </w:p>
                  <w:p w14:paraId="2A49EF71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E. info@uzt.lt</w:t>
                    </w:r>
                  </w:p>
                  <w:p w14:paraId="7173961E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5092C1" wp14:editId="6C60189E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F6D62" w14:textId="77777777" w:rsidR="00ED209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00A642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00A642"/>
                              <w:sz w:val="16"/>
                              <w:szCs w:val="16"/>
                              <w:lang w:val="cs-CZ"/>
                            </w:rPr>
                            <w:t>U</w:t>
                          </w:r>
                          <w:r w:rsidRPr="00F421A0">
                            <w:rPr>
                              <w:rFonts w:ascii="Arial" w:hAnsi="Arial" w:cs="Arial"/>
                              <w:color w:val="00A642"/>
                              <w:sz w:val="16"/>
                              <w:szCs w:val="16"/>
                              <w:lang w:val="cs-CZ"/>
                            </w:rPr>
                            <w:t>žimtumo tarnyba prie</w:t>
                          </w:r>
                        </w:p>
                        <w:p w14:paraId="0E342764" w14:textId="77777777" w:rsidR="00ED209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00A642"/>
                              <w:sz w:val="16"/>
                              <w:szCs w:val="16"/>
                              <w:lang w:val="cs-CZ"/>
                            </w:rPr>
                          </w:pPr>
                          <w:r w:rsidRPr="00F421A0">
                            <w:rPr>
                              <w:rFonts w:ascii="Arial" w:hAnsi="Arial" w:cs="Arial"/>
                              <w:color w:val="00A642"/>
                              <w:sz w:val="16"/>
                              <w:szCs w:val="16"/>
                              <w:lang w:val="cs-CZ"/>
                            </w:rPr>
                            <w:t xml:space="preserve">Lietuvos Respublikos </w:t>
                          </w:r>
                          <w:r>
                            <w:rPr>
                              <w:rFonts w:ascii="Arial" w:hAnsi="Arial" w:cs="Arial"/>
                              <w:color w:val="00A642"/>
                              <w:sz w:val="16"/>
                              <w:szCs w:val="16"/>
                              <w:lang w:val="cs-CZ"/>
                            </w:rPr>
                            <w:t>socialinės</w:t>
                          </w:r>
                        </w:p>
                        <w:p w14:paraId="01D7D231" w14:textId="77777777" w:rsidR="00ED2094" w:rsidRDefault="00ED2094" w:rsidP="00ED2094">
                          <w:r w:rsidRPr="00F421A0">
                            <w:rPr>
                              <w:rFonts w:ascii="Arial" w:hAnsi="Arial" w:cs="Arial"/>
                              <w:color w:val="00A642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B5092C1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5B9F6D62" w14:textId="77777777" w:rsidR="00ED2094" w:rsidRDefault="00ED2094" w:rsidP="00ED2094">
                    <w:pPr>
                      <w:ind w:right="466"/>
                      <w:rPr>
                        <w:rFonts w:ascii="Arial" w:hAnsi="Arial" w:cs="Arial"/>
                        <w:color w:val="00A642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color w:val="00A642"/>
                        <w:sz w:val="16"/>
                        <w:szCs w:val="16"/>
                        <w:lang w:val="cs-CZ"/>
                      </w:rPr>
                      <w:t>U</w:t>
                    </w:r>
                    <w:r w:rsidRPr="00F421A0">
                      <w:rPr>
                        <w:rFonts w:ascii="Arial" w:hAnsi="Arial" w:cs="Arial"/>
                        <w:color w:val="00A642"/>
                        <w:sz w:val="16"/>
                        <w:szCs w:val="16"/>
                        <w:lang w:val="cs-CZ"/>
                      </w:rPr>
                      <w:t>žimtumo tarnyba prie</w:t>
                    </w:r>
                  </w:p>
                  <w:p w14:paraId="0E342764" w14:textId="77777777" w:rsidR="00ED2094" w:rsidRDefault="00ED2094" w:rsidP="00ED2094">
                    <w:pPr>
                      <w:ind w:right="466"/>
                      <w:rPr>
                        <w:rFonts w:ascii="Arial" w:hAnsi="Arial" w:cs="Arial"/>
                        <w:color w:val="00A642"/>
                        <w:sz w:val="16"/>
                        <w:szCs w:val="16"/>
                        <w:lang w:val="cs-CZ"/>
                      </w:rPr>
                    </w:pPr>
                    <w:r w:rsidRPr="00F421A0">
                      <w:rPr>
                        <w:rFonts w:ascii="Arial" w:hAnsi="Arial" w:cs="Arial"/>
                        <w:color w:val="00A642"/>
                        <w:sz w:val="16"/>
                        <w:szCs w:val="16"/>
                        <w:lang w:val="cs-CZ"/>
                      </w:rPr>
                      <w:t xml:space="preserve">Lietuvos Respublikos </w:t>
                    </w:r>
                    <w:r>
                      <w:rPr>
                        <w:rFonts w:ascii="Arial" w:hAnsi="Arial" w:cs="Arial"/>
                        <w:color w:val="00A642"/>
                        <w:sz w:val="16"/>
                        <w:szCs w:val="16"/>
                        <w:lang w:val="cs-CZ"/>
                      </w:rPr>
                      <w:t>socialinės</w:t>
                    </w:r>
                  </w:p>
                  <w:p w14:paraId="01D7D231" w14:textId="77777777" w:rsidR="00ED2094" w:rsidRDefault="00ED2094" w:rsidP="00ED2094">
                    <w:r w:rsidRPr="00F421A0">
                      <w:rPr>
                        <w:rFonts w:ascii="Arial" w:hAnsi="Arial" w:cs="Arial"/>
                        <w:color w:val="00A642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29B99" wp14:editId="3BC07F11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9DD31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06D78150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F29B99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0E9DD31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06D78150" w14:textId="77777777" w:rsidR="00ED2094" w:rsidRDefault="00ED2094"/>
                </w:txbxContent>
              </v:textbox>
            </v:shape>
          </w:pict>
        </mc:Fallback>
      </mc:AlternateContent>
    </w:r>
  </w:p>
  <w:p w14:paraId="280BB87B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6AD8" w14:textId="77777777" w:rsidR="00EE3F36" w:rsidRDefault="00EE3F36" w:rsidP="00F421A0">
      <w:r>
        <w:separator/>
      </w:r>
    </w:p>
  </w:footnote>
  <w:footnote w:type="continuationSeparator" w:id="0">
    <w:p w14:paraId="05FA0FE6" w14:textId="77777777" w:rsidR="00EE3F36" w:rsidRDefault="00EE3F36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5BBE8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2C538254" wp14:editId="1ABB9F7E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24A6E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131139B0" wp14:editId="16DECF76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A0"/>
    <w:rsid w:val="0007133C"/>
    <w:rsid w:val="001155DD"/>
    <w:rsid w:val="0014481A"/>
    <w:rsid w:val="0016391A"/>
    <w:rsid w:val="00196FE4"/>
    <w:rsid w:val="001A370C"/>
    <w:rsid w:val="001B2D4E"/>
    <w:rsid w:val="001D36B3"/>
    <w:rsid w:val="001D7147"/>
    <w:rsid w:val="002878AF"/>
    <w:rsid w:val="002905D2"/>
    <w:rsid w:val="002E3589"/>
    <w:rsid w:val="003155FB"/>
    <w:rsid w:val="003359F9"/>
    <w:rsid w:val="00341971"/>
    <w:rsid w:val="004C74A1"/>
    <w:rsid w:val="005B55EF"/>
    <w:rsid w:val="005E7DE9"/>
    <w:rsid w:val="00622F6A"/>
    <w:rsid w:val="00671864"/>
    <w:rsid w:val="006F3CD7"/>
    <w:rsid w:val="007E78E6"/>
    <w:rsid w:val="00813128"/>
    <w:rsid w:val="00836945"/>
    <w:rsid w:val="00851E3E"/>
    <w:rsid w:val="0088542E"/>
    <w:rsid w:val="008F3731"/>
    <w:rsid w:val="0091285D"/>
    <w:rsid w:val="00915314"/>
    <w:rsid w:val="00941A5B"/>
    <w:rsid w:val="00986888"/>
    <w:rsid w:val="009A3D3A"/>
    <w:rsid w:val="009C1D5A"/>
    <w:rsid w:val="009E2932"/>
    <w:rsid w:val="009F478E"/>
    <w:rsid w:val="00A40A7A"/>
    <w:rsid w:val="00A61888"/>
    <w:rsid w:val="00B17F50"/>
    <w:rsid w:val="00BA03DC"/>
    <w:rsid w:val="00BA6C00"/>
    <w:rsid w:val="00BE3D7F"/>
    <w:rsid w:val="00C37147"/>
    <w:rsid w:val="00C67D95"/>
    <w:rsid w:val="00D017ED"/>
    <w:rsid w:val="00D207AD"/>
    <w:rsid w:val="00D44A66"/>
    <w:rsid w:val="00DA463E"/>
    <w:rsid w:val="00DE054D"/>
    <w:rsid w:val="00E120E1"/>
    <w:rsid w:val="00ED2094"/>
    <w:rsid w:val="00EE16AD"/>
    <w:rsid w:val="00EE3F36"/>
    <w:rsid w:val="00EF13CA"/>
    <w:rsid w:val="00F0122C"/>
    <w:rsid w:val="00F3255E"/>
    <w:rsid w:val="00F421A0"/>
    <w:rsid w:val="00F9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7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0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F94023-2804-47AA-8DB8-72EA3318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Juratė Stankevičienė</cp:lastModifiedBy>
  <cp:revision>3</cp:revision>
  <dcterms:created xsi:type="dcterms:W3CDTF">2019-02-13T08:18:00Z</dcterms:created>
  <dcterms:modified xsi:type="dcterms:W3CDTF">2019-02-13T08:20:00Z</dcterms:modified>
</cp:coreProperties>
</file>